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66605" w14:textId="09BB55F6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Annexe </w:t>
      </w:r>
      <w:r w:rsidR="006D223B">
        <w:rPr>
          <w:rFonts w:ascii="Calibri" w:hAnsi="Calibri" w:cs="Arial"/>
          <w:b/>
          <w:bCs/>
        </w:rPr>
        <w:t>3 à l’Acte d’Engagement</w:t>
      </w:r>
    </w:p>
    <w:p w14:paraId="6561FAFB" w14:textId="77777777" w:rsidR="00B50B89" w:rsidRDefault="0042436D" w:rsidP="00B50B8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171D5CD2" w14:textId="7AE66A83" w:rsidR="00B50B89" w:rsidRPr="00B50B89" w:rsidRDefault="00B50B89" w:rsidP="00B50B8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B50B89">
        <w:rPr>
          <w:rFonts w:ascii="Calibri" w:hAnsi="Calibri"/>
          <w:sz w:val="22"/>
          <w:szCs w:val="22"/>
        </w:rPr>
        <w:t>FOURNITURE DE DISPOSITIFS MEDICAUX DE PANSEMENTS, BANDES, TOPIQUES et de THERAPIE PAR PRESSION NEGATIVE POUR LA PRISE EN CHARGE DE PLAIES CHRONIQUES ET AIGUES</w:t>
      </w:r>
    </w:p>
    <w:p w14:paraId="214F4179" w14:textId="5C7EA6C0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………………….…………..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 xml:space="preserve">Les engagements signés sur ce présent document prévalent sur les conditions générales de </w:t>
      </w:r>
      <w:bookmarkStart w:id="0" w:name="_GoBack"/>
      <w:bookmarkEnd w:id="0"/>
      <w:r w:rsidRPr="00855F18">
        <w:rPr>
          <w:rFonts w:ascii="Calibri" w:hAnsi="Calibri"/>
          <w:b/>
          <w:bCs/>
          <w:color w:val="FF0000"/>
        </w:rPr>
        <w:t>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GridTab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0690BB67" w:rsidR="0030137B" w:rsidRPr="0030137B" w:rsidRDefault="0030137B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4043F3D0" w:rsidR="0030137B" w:rsidRPr="0030137B" w:rsidRDefault="00EF2270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 à 99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289053D" w:rsidR="0030137B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00A2C3DA" w:rsidR="0030137B" w:rsidRPr="0030137B" w:rsidRDefault="0030137B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2092A58D" w:rsidR="0030137B" w:rsidRPr="0030137B" w:rsidRDefault="0030137B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de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 à </w:t>
            </w:r>
            <w:r w:rsidR="00EF227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6102AB66" w:rsidR="0030137B" w:rsidRPr="0030137B" w:rsidRDefault="00EF2270" w:rsidP="00EF2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25</w:t>
            </w:r>
            <w:r w:rsid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0137B"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2270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EF2270" w:rsidRPr="0030137B" w:rsidRDefault="00EF2270" w:rsidP="00EF2270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59FB2595" w:rsidR="00EF2270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000€ HT</w:t>
            </w:r>
          </w:p>
        </w:tc>
        <w:tc>
          <w:tcPr>
            <w:tcW w:w="2700" w:type="dxa"/>
            <w:noWrap/>
          </w:tcPr>
          <w:p w14:paraId="5441DC82" w14:textId="77777777" w:rsidR="00EF2270" w:rsidRPr="0030137B" w:rsidRDefault="00EF2270" w:rsidP="00EF2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314FC3E" w14:textId="298E97F4" w:rsidR="00B44F3F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7E6D8194" w14:textId="4A110486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54D82190" w14:textId="0ABDFB6D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GridTab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35633C92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34F3" w:rsidRPr="0030137B" w14:paraId="41BA2BE9" w14:textId="77777777" w:rsidTr="00CF46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F19E11" w14:textId="08A19A0A" w:rsidR="00A534F3" w:rsidRPr="0030137B" w:rsidRDefault="00A534F3" w:rsidP="00CF4677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Montant total de la commande 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7849C93D" w14:textId="77777777" w:rsidR="00A534F3" w:rsidRPr="0030137B" w:rsidRDefault="00A534F3" w:rsidP="00CF46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A534F3" w14:paraId="6130C333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336223" w14:textId="745B1F87" w:rsidR="00A534F3" w:rsidRPr="0030137B" w:rsidRDefault="0046300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 partir de </w:t>
            </w:r>
            <w:r w:rsidR="00A534F3">
              <w:rPr>
                <w:rFonts w:ascii="Calibri" w:hAnsi="Calibri" w:cs="Arial"/>
              </w:rPr>
              <w:t xml:space="preserve">5 000€ HT </w:t>
            </w:r>
          </w:p>
        </w:tc>
        <w:tc>
          <w:tcPr>
            <w:tcW w:w="4531" w:type="dxa"/>
          </w:tcPr>
          <w:p w14:paraId="3448A00C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13156A7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BD6960" w14:textId="77D0FC5B" w:rsidR="00A534F3" w:rsidRDefault="00A534F3" w:rsidP="00CF4677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 xml:space="preserve">De </w:t>
            </w:r>
          </w:p>
        </w:tc>
        <w:tc>
          <w:tcPr>
            <w:tcW w:w="4531" w:type="dxa"/>
          </w:tcPr>
          <w:p w14:paraId="4B80464A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2BE0CD0D" w14:textId="77777777" w:rsidTr="00CF4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A2FC93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02C071F7" w14:textId="77777777" w:rsidR="00A534F3" w:rsidRDefault="00A534F3" w:rsidP="00CF46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A534F3" w14:paraId="0728E8DD" w14:textId="77777777" w:rsidTr="00CF46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2727AA" w14:textId="77777777" w:rsidR="00A534F3" w:rsidRDefault="00A534F3" w:rsidP="00CF4677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B29A196" w14:textId="77777777" w:rsidR="00A534F3" w:rsidRDefault="00A534F3" w:rsidP="00CF46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3B177AD1" w14:textId="77777777" w:rsidR="00A534F3" w:rsidRDefault="00A534F3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7D423115" w14:textId="77777777" w:rsidR="004046A1" w:rsidRDefault="004046A1" w:rsidP="00AE5766">
      <w:pPr>
        <w:jc w:val="center"/>
        <w:rPr>
          <w:rFonts w:ascii="Calibri" w:hAnsi="Calibri" w:cs="Arial"/>
          <w:b/>
          <w:color w:val="FF0000"/>
          <w:sz w:val="28"/>
        </w:rPr>
      </w:pPr>
    </w:p>
    <w:p w14:paraId="2D0D8EA2" w14:textId="438FC33F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5A3F8" w14:textId="77777777" w:rsidR="00661631" w:rsidRDefault="00661631" w:rsidP="00D53781">
      <w:r>
        <w:separator/>
      </w:r>
    </w:p>
  </w:endnote>
  <w:endnote w:type="continuationSeparator" w:id="0">
    <w:p w14:paraId="5D078F31" w14:textId="77777777" w:rsidR="00661631" w:rsidRDefault="00661631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D9E0C" w14:textId="77777777" w:rsidR="00661631" w:rsidRDefault="00661631" w:rsidP="00D53781">
      <w:r>
        <w:separator/>
      </w:r>
    </w:p>
  </w:footnote>
  <w:footnote w:type="continuationSeparator" w:id="0">
    <w:p w14:paraId="382658DE" w14:textId="77777777" w:rsidR="00661631" w:rsidRDefault="00661631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73BB1"/>
    <w:rsid w:val="000B397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70A99"/>
    <w:rsid w:val="002F58BC"/>
    <w:rsid w:val="0030137B"/>
    <w:rsid w:val="003022A8"/>
    <w:rsid w:val="0030553E"/>
    <w:rsid w:val="00333070"/>
    <w:rsid w:val="00395CBB"/>
    <w:rsid w:val="003D6C95"/>
    <w:rsid w:val="004046A1"/>
    <w:rsid w:val="00404F24"/>
    <w:rsid w:val="004053A2"/>
    <w:rsid w:val="00405A3A"/>
    <w:rsid w:val="0041188D"/>
    <w:rsid w:val="00413AF7"/>
    <w:rsid w:val="0042436D"/>
    <w:rsid w:val="004554B9"/>
    <w:rsid w:val="00463003"/>
    <w:rsid w:val="00487E2B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40964"/>
    <w:rsid w:val="00643BED"/>
    <w:rsid w:val="00645B44"/>
    <w:rsid w:val="00650FFC"/>
    <w:rsid w:val="00661631"/>
    <w:rsid w:val="00673402"/>
    <w:rsid w:val="00686D41"/>
    <w:rsid w:val="006B275D"/>
    <w:rsid w:val="006D223B"/>
    <w:rsid w:val="00736218"/>
    <w:rsid w:val="0074354B"/>
    <w:rsid w:val="007461D2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534F3"/>
    <w:rsid w:val="00A55D7E"/>
    <w:rsid w:val="00A84052"/>
    <w:rsid w:val="00AA068C"/>
    <w:rsid w:val="00AE5766"/>
    <w:rsid w:val="00B2697D"/>
    <w:rsid w:val="00B355C9"/>
    <w:rsid w:val="00B44F3F"/>
    <w:rsid w:val="00B50B89"/>
    <w:rsid w:val="00C32996"/>
    <w:rsid w:val="00C61C2B"/>
    <w:rsid w:val="00CB00DB"/>
    <w:rsid w:val="00CF5AEC"/>
    <w:rsid w:val="00D105E9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972C2"/>
    <w:rsid w:val="00EC2061"/>
    <w:rsid w:val="00ED1D21"/>
    <w:rsid w:val="00EE7292"/>
    <w:rsid w:val="00EF2270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customStyle="1" w:styleId="GridTable5Dark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customStyle="1" w:styleId="GridTable5Dark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9A029-1180-4D13-9B51-3C41BDE4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RUEL Blandine</dc:creator>
  <cp:lastModifiedBy>remp-pharma</cp:lastModifiedBy>
  <cp:revision>7</cp:revision>
  <cp:lastPrinted>2019-01-23T16:01:00Z</cp:lastPrinted>
  <dcterms:created xsi:type="dcterms:W3CDTF">2024-11-13T15:14:00Z</dcterms:created>
  <dcterms:modified xsi:type="dcterms:W3CDTF">2025-06-04T12:55:00Z</dcterms:modified>
</cp:coreProperties>
</file>